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455016.xml.htm"/>
      <w:bookmarkStart w:id="1" w:name="kswkform4_17834550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Mayes Patrick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1801 AUGUSTINE CUT-OFF</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INCYTE CORP</w:t>
              </w:r>
            </w:hyperlink>
            <w:r>
              <w:rPr/>
              <w:t xml:space="preserve"> [ </w:t>
            </w:r>
            <w:r>
              <w:rPr>
                <w:rFonts w:ascii="Times;serif" w:hAnsi="Times;serif"/>
                <w:color w:val="0000FF"/>
                <w:sz w:val="24"/>
                <w:shd w:fill="FFFFFF" w:val="clear"/>
              </w:rPr>
              <w:t>INCY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350</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116.86</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59,661</w:t>
            </w:r>
            <w:r>
              <w:rPr>
                <w:rFonts w:ascii="Times;serif" w:hAnsi="Times;serif"/>
                <w:color w:val="008000"/>
                <w:position w:val="7"/>
                <w:sz w:val="16"/>
                <w:sz w:val="20"/>
                <w:shd w:fill="FFFFFF" w:val="clear"/>
              </w:rPr>
              <w:t>(2)</w:t>
            </w:r>
            <w:r>
              <w:rPr/>
              <w:t xml:space="preserve"> </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automatically by the Issuer to satisfy tax withholding obligations due at settlement of restricted stock units previously reported in Table I as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an aggregate of 58,730 shares of common stock issuable pursuant to previously reported restricted stock units that have not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Feeney,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mayes-incytesection16pow.htm"/>
      <w:bookmarkStart w:id="3" w:name="ksmayesincytesection16pow"/>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The undersigned hereby constitutes and appoints each of Richard Hoffman, Suketu Upadhyay, Elizabeth Feeney and Thomas Tray, signing singly, the undersigned’s true and lawful attorney-in-fact to: (1) execute for and on behalf of the undersigned, in the undersigned ’s capacity as an officer and/or director of Incyte Corporation (the “Company”), Forms 3, 4, and 5 in accordance with Section 16(a) of the Securities Exchange Act of 1934 and the rules thereunder; (2)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 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 ’s responsibilities to comply with Section 16 of the Securities Exchange Act of 1934. This Power of Attorney shall remain in full force and effect until the undersigned is no longer required to file Forms 3, 4, and 5 with respect to the undersigned ’s holdings of and transactions in securities issued by the Company, unless (a) earlier revoked by the undersigned in a signed writing delivered to the foregoing attorneys-in-fact or (b) superseded by a new power of attorney regarding the purposes outlined in the first paragraph hereof dated as of a later date . IN WITNESS WHEREOF, the undersigned has caused this Power of Attorney to be executed as of May 5, 2026. /s/ Patrick Mayes Patrick Mayes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9962" TargetMode="External"/><Relationship Id="rId5" Type="http://schemas.openxmlformats.org/officeDocument/2006/relationships/hyperlink" Target="http://www.sec.gov/cgi-bin/browse-edgar?action=getcompany&amp;CIK=00008791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1078</Words>
  <Characters>5735</Characters>
  <CharactersWithSpaces>6755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mayes-incytesection16pow</dc:title>
</cp:coreProperties>
</file>