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4944.xml.htm"/>
      <w:bookmarkStart w:id="1" w:name="kswkform4_17834549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Steven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CMO &amp; Head of Late-Stage Dev.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116.86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satisfy tax withholding obligations due at settlement of RSUs or earned performance shares previously reported in Table I as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includes an aggregate of 73,591 shares of common stock issuable pursuant to previously reported restricted stock units and earned performance shares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3776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3387</Characters>
  <CharactersWithSpaces>3946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