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Experimental Station, Route 141 &amp; Henry Clay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Building E336, Wilmington, DE 19880</w:t>
      </w:r>
    </w:p>
    <w:p>
      <w:pPr>
        <w:spacing w:after="0" w:line="9"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498-6700</w:t>
      </w:r>
    </w:p>
    <w:p>
      <w:pPr>
        <w:spacing w:after="0" w:line="9" w:lineRule="exact"/>
        <w:rPr>
          <w:rFonts w:ascii="Times New Roman" w:cs="Times New Roman" w:eastAsia="Times New Roman" w:hAnsi="Times New Roman"/>
          <w:sz w:val="18"/>
          <w:szCs w:val="18"/>
          <w:color w:val="auto"/>
        </w:rPr>
      </w:pPr>
    </w:p>
    <w:p>
      <w:pPr>
        <w:ind w:left="4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Telecopier: (302) 425-2707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14, 2014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 B. Rosenberg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00"/>
          </w:cols>
          <w:pgMar w:left="240" w:top="441" w:right="259" w:bottom="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February 21, 2013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September 30, 2013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31, 2013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 001-12400</w:t>
      </w:r>
    </w:p>
    <w:p>
      <w:pPr>
        <w:spacing w:after="0" w:line="200" w:lineRule="exact"/>
        <w:rPr>
          <w:sz w:val="24"/>
          <w:szCs w:val="24"/>
          <w:color w:val="auto"/>
        </w:rPr>
      </w:pPr>
    </w:p>
    <w:p>
      <w:pPr>
        <w:sectPr>
          <w:pgSz w:w="11900" w:h="16838" w:orient="portrait"/>
          <w:cols w:equalWidth="0" w:num="2">
            <w:col w:w="280" w:space="380"/>
            <w:col w:w="10740"/>
          </w:cols>
          <w:pgMar w:left="240" w:top="441" w:right="25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Rosenberg:</w:t>
      </w:r>
    </w:p>
    <w:p>
      <w:pPr>
        <w:spacing w:after="0" w:line="225" w:lineRule="exact"/>
        <w:rPr>
          <w:sz w:val="24"/>
          <w:szCs w:val="24"/>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letter sets forth the response of Incyte Corporation (“we” or the “Company”) to the comment received from the staff (the “Staff”) of the Securities and Exchange Commission (the “Commission”) in its letter to the Company dated December 30, 2013. To facilitate your review of the Company’s response to the Staff’s comment, we have reproduced below the Staff’s comment followed by the Company’s response.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10-Q for the Quarterly Period Ended September 30, 2013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Product Revenues, page 26</w:t>
      </w:r>
    </w:p>
    <w:p>
      <w:pPr>
        <w:spacing w:after="0" w:line="205" w:lineRule="exact"/>
        <w:rPr>
          <w:sz w:val="24"/>
          <w:szCs w:val="24"/>
          <w:color w:val="auto"/>
        </w:rPr>
      </w:pPr>
    </w:p>
    <w:p>
      <w:pPr>
        <w:ind w:left="660" w:right="140" w:hanging="652"/>
        <w:spacing w:after="0" w:line="267"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you began capitalizing inventory in mid-November 2011 once the FDA approved JAKAFI as the related costs were expected to be recoverable through commercialization of the product and that the costs incurred prior to FDA approval have been recorded as research and development expense in the statements of operations. You also disclose that the cost of product revenues for the next several quarters will reflect a</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89"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lower average per unit cost of materials. Please provide us proposed revised disclosure to be included in future periodic reports that includes:</w:t>
      </w:r>
    </w:p>
    <w:p>
      <w:pPr>
        <w:spacing w:after="0" w:line="225" w:lineRule="exact"/>
        <w:rPr>
          <w:rFonts w:ascii="Times New Roman" w:cs="Times New Roman" w:eastAsia="Times New Roman" w:hAnsi="Times New Roman"/>
          <w:sz w:val="18"/>
          <w:szCs w:val="18"/>
          <w:i w:val="1"/>
          <w:iCs w:val="1"/>
          <w:color w:val="auto"/>
        </w:rPr>
      </w:pPr>
    </w:p>
    <w:p>
      <w:pPr>
        <w:ind w:left="980" w:right="260" w:hanging="324"/>
        <w:spacing w:after="0" w:line="262" w:lineRule="auto"/>
        <w:tabs>
          <w:tab w:leader="none" w:pos="9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JAKAFI product costs incurred prior to receiving the FDA approvals that was previously charged to research and development expense;</w:t>
      </w:r>
    </w:p>
    <w:p>
      <w:pPr>
        <w:ind w:left="980" w:right="200" w:hanging="324"/>
        <w:spacing w:after="0" w:line="250" w:lineRule="auto"/>
        <w:tabs>
          <w:tab w:leader="none" w:pos="9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estimated selling price or range of zero-cost/reduced-cost inventory you have at the latest balance sheet date presented and a more precise estimated time period you expect to sell this inventory; and</w:t>
      </w:r>
    </w:p>
    <w:p>
      <w:pPr>
        <w:ind w:left="980" w:right="180" w:hanging="324"/>
        <w:spacing w:after="0" w:line="261" w:lineRule="auto"/>
        <w:tabs>
          <w:tab w:leader="none" w:pos="9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estimated cost of sales or a range, if determinable, as a percentage of selling price that you expect to incur after the zero-cost/reduced cost inventory has been consumed.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-1496695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4"/>
          <w:szCs w:val="24"/>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JAKAFI product costs incurred prior to FDA approval totaling $9.6 million were recorded as research and development expenses in our statements of operations and were composed of a mix of raw materials, work in process and finished goods costs. Subsequent to FDA approval, the Company continues to track these pre-launch inventory components through the contract manufacturing process and ultimately through the sale of the finished goods to our customers, with any additional product costs capitalized in the normal course. We currently estimate that we will sell all inventory which contains a reduced cost component over the next 36 months and, therefore, the costs of product revenues over this period will reflect a lower average per unit cost. Since the previously expensed product cost does not consist solely of finished goods, we believe that disclosing the remaining cost value of the pre-launch inventory and the period of time in which we estimate to fully utilize the remaining pre-launch inventory is more appropriate than the estimated selling price of this inventory, given that the manufacturing process is not yet complete for a portion of this inventory.</w:t>
      </w:r>
    </w:p>
    <w:p>
      <w:pPr>
        <w:spacing w:after="0" w:line="183" w:lineRule="exact"/>
        <w:rPr>
          <w:sz w:val="24"/>
          <w:szCs w:val="24"/>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will include the revised disclosure under the same heading in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in its Annual Report on Form 10-K for the fiscal year ended December 31, 2013, as follows (additions to the disclosure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10-Q for the Quarterly Period ended September 30, 2013 are indicated by underscored text and deletions are indicated by struck-through text):</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29"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We began capitalizing inventory in mid-November 2011 once the FDA approved JAKAFI as the related costs were expected to be recoverable through the commercialization of the product. Costs incurred prior to FDA approval </w:t>
      </w:r>
      <w:r>
        <w:rPr>
          <w:rFonts w:ascii="Times New Roman" w:cs="Times New Roman" w:eastAsia="Times New Roman" w:hAnsi="Times New Roman"/>
          <w:sz w:val="17"/>
          <w:szCs w:val="17"/>
          <w:color w:val="auto"/>
          <w:strike w:val="1"/>
        </w:rPr>
        <w:t>have been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 $9.6 million were</w:t>
      </w:r>
      <w:r>
        <w:rPr>
          <w:rFonts w:ascii="Times New Roman" w:cs="Times New Roman" w:eastAsia="Times New Roman" w:hAnsi="Times New Roman"/>
          <w:sz w:val="17"/>
          <w:szCs w:val="17"/>
          <w:color w:val="auto"/>
        </w:rPr>
        <w:t xml:space="preserve"> recorded as research and development expenses in our statements of operations </w:t>
      </w:r>
      <w:r>
        <w:rPr>
          <w:rFonts w:ascii="Times New Roman" w:cs="Times New Roman" w:eastAsia="Times New Roman" w:hAnsi="Times New Roman"/>
          <w:sz w:val="17"/>
          <w:szCs w:val="17"/>
          <w:u w:val="single" w:color="auto"/>
          <w:color w:val="auto"/>
        </w:rPr>
        <w:t>prior to commercialization of JAKAFI. At December 31, 2013, inventory with $x.x million of product costs incurred prior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FDA approval had not yet been sold. We expect to sell the pre-commercialization inventory over the next 36 months; however, the time period over which this inventory is consumed will depend on a number of factors, including the amount of future JAKAFI sales, and the ability to utilize inventory prior to its expiration date.</w:t>
      </w:r>
      <w:r>
        <w:rPr>
          <w:rFonts w:ascii="Times New Roman" w:cs="Times New Roman" w:eastAsia="Times New Roman" w:hAnsi="Times New Roman"/>
          <w:sz w:val="17"/>
          <w:szCs w:val="17"/>
          <w:color w:val="auto"/>
        </w:rPr>
        <w:t xml:space="preserve"> As a result, cost of product revenues for the next </w:t>
      </w:r>
      <w:r>
        <w:rPr>
          <w:rFonts w:ascii="Times New Roman" w:cs="Times New Roman" w:eastAsia="Times New Roman" w:hAnsi="Times New Roman"/>
          <w:sz w:val="17"/>
          <w:szCs w:val="17"/>
          <w:color w:val="auto"/>
          <w:strike w:val="1"/>
        </w:rPr>
        <w:t>several quarters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36 months</w:t>
      </w:r>
      <w:r>
        <w:rPr>
          <w:rFonts w:ascii="Times New Roman" w:cs="Times New Roman" w:eastAsia="Times New Roman" w:hAnsi="Times New Roman"/>
          <w:sz w:val="17"/>
          <w:szCs w:val="17"/>
          <w:color w:val="auto"/>
        </w:rPr>
        <w:t xml:space="preserve"> will reflect a lower average per unit cost of materials. Cost of product revenues was </w:t>
      </w:r>
      <w:r>
        <w:rPr>
          <w:rFonts w:ascii="Times New Roman" w:cs="Times New Roman" w:eastAsia="Times New Roman" w:hAnsi="Times New Roman"/>
          <w:sz w:val="17"/>
          <w:szCs w:val="17"/>
          <w:u w:val="single" w:color="auto"/>
          <w:color w:val="auto"/>
        </w:rPr>
        <w:t>$xx million,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x.x</w:t>
      </w:r>
      <w:r>
        <w:rPr>
          <w:rFonts w:ascii="Times New Roman" w:cs="Times New Roman" w:eastAsia="Times New Roman" w:hAnsi="Times New Roman"/>
          <w:sz w:val="17"/>
          <w:szCs w:val="17"/>
          <w:color w:val="auto"/>
        </w:rPr>
        <w:t xml:space="preserve"> million and $</w:t>
      </w:r>
      <w:r>
        <w:rPr>
          <w:rFonts w:ascii="Times New Roman" w:cs="Times New Roman" w:eastAsia="Times New Roman" w:hAnsi="Times New Roman"/>
          <w:sz w:val="17"/>
          <w:szCs w:val="17"/>
          <w:color w:val="auto"/>
          <w:strike w:val="1"/>
        </w:rPr>
        <w:t>0.5</w:t>
      </w:r>
      <w:r>
        <w:rPr>
          <w:rFonts w:ascii="Times New Roman" w:cs="Times New Roman" w:eastAsia="Times New Roman" w:hAnsi="Times New Roman"/>
          <w:sz w:val="17"/>
          <w:szCs w:val="17"/>
          <w:u w:val="single" w:color="auto"/>
          <w:color w:val="auto"/>
        </w:rPr>
        <w:t>x.x</w:t>
      </w:r>
      <w:r>
        <w:rPr>
          <w:rFonts w:ascii="Times New Roman" w:cs="Times New Roman" w:eastAsia="Times New Roman" w:hAnsi="Times New Roman"/>
          <w:sz w:val="17"/>
          <w:szCs w:val="17"/>
          <w:color w:val="auto"/>
        </w:rPr>
        <w:t xml:space="preserve"> million for the </w:t>
      </w:r>
      <w:r>
        <w:rPr>
          <w:rFonts w:ascii="Times New Roman" w:cs="Times New Roman" w:eastAsia="Times New Roman" w:hAnsi="Times New Roman"/>
          <w:sz w:val="17"/>
          <w:szCs w:val="17"/>
          <w:color w:val="auto"/>
          <w:strike w:val="1"/>
        </w:rPr>
        <w:t>three and nine months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years</w:t>
      </w:r>
      <w:r>
        <w:rPr>
          <w:rFonts w:ascii="Times New Roman" w:cs="Times New Roman" w:eastAsia="Times New Roman" w:hAnsi="Times New Roman"/>
          <w:sz w:val="17"/>
          <w:szCs w:val="17"/>
          <w:color w:val="auto"/>
        </w:rPr>
        <w:t xml:space="preserve"> ended </w:t>
      </w:r>
      <w:r>
        <w:rPr>
          <w:rFonts w:ascii="Times New Roman" w:cs="Times New Roman" w:eastAsia="Times New Roman" w:hAnsi="Times New Roman"/>
          <w:sz w:val="17"/>
          <w:szCs w:val="17"/>
          <w:color w:val="auto"/>
          <w:strike w:val="1"/>
        </w:rPr>
        <w:t>September 30</w:t>
      </w:r>
      <w:r>
        <w:rPr>
          <w:rFonts w:ascii="Times New Roman" w:cs="Times New Roman" w:eastAsia="Times New Roman" w:hAnsi="Times New Roman"/>
          <w:sz w:val="17"/>
          <w:szCs w:val="17"/>
          <w:u w:val="single" w:color="auto"/>
          <w:color w:val="auto"/>
        </w:rPr>
        <w:t>December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2011, 2012 and</w:t>
      </w:r>
    </w:p>
    <w:p>
      <w:pPr>
        <w:sectPr>
          <w:pgSz w:w="11900" w:h="16838" w:orient="portrait"/>
          <w:cols w:equalWidth="0" w:num="1">
            <w:col w:w="11400"/>
          </w:cols>
          <w:pgMar w:left="240" w:top="441" w:right="259" w:bottom="0" w:gutter="0" w:footer="0" w:header="0"/>
          <w:type w:val="continuous"/>
        </w:sectPr>
      </w:pPr>
    </w:p>
    <w:bookmarkStart w:id="1" w:name="page2"/>
    <w:bookmarkEnd w:id="1"/>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2013, respectively. </w:t>
      </w:r>
      <w:r>
        <w:rPr>
          <w:rFonts w:ascii="Times New Roman" w:cs="Times New Roman" w:eastAsia="Times New Roman" w:hAnsi="Times New Roman"/>
          <w:sz w:val="18"/>
          <w:szCs w:val="18"/>
          <w:color w:val="auto"/>
          <w:strike w:val="1"/>
        </w:rPr>
        <w:t>Cost of product revenues were de minimis for each of the three and nine months ended September 30, 2012.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We expect future 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 revenues to range in the mid-single digits as a percentage of net product sales subsequent to the utilization of all of the remaining pre-launch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5640" w:val="left"/>
          <w:tab w:leader="none" w:pos="6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that:</w:t>
      </w:r>
    </w:p>
    <w:p>
      <w:pPr>
        <w:spacing w:after="0" w:line="225"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Staff comment or changes to disclosure in response to the Staff comment do not foreclose the Commission from taking any action with respect to the filing;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the Staff comment as a defense in any proceeding initiated by the Commission or any person under the federal securities laws of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or comments regarding any matters with respect to the foregoing may be directed to the undersigned at (302) 498-6700.</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David C. Hastings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H. Siegel, Incyte Corporation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Stanton D. Wong,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02"/>
    </w:lvl>
  </w:abstractNum>
  <w:abstractNum w:abstractNumId="1">
    <w:nsid w:val="19495CFF"/>
    <w:multiLevelType w:val="hybridMultilevel"/>
    <w:lvl w:ilvl="0">
      <w:lvlJc w:val="left"/>
      <w:lvlText w:val="%1."/>
      <w:numFmt w:val="decimal"/>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2019-12-06T05:36:34Z</dcterms:created>
  <dcterms:modified xsi:type="dcterms:W3CDTF">2019-12-06T05:36:34Z</dcterms:modified>
</cp:coreProperties>
</file>